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3192" w:rsidRPr="00203192" w:rsidRDefault="00203192" w:rsidP="001016A3">
      <w:pPr>
        <w:rPr>
          <w:rFonts w:ascii="Times New Roman" w:hAnsi="Times New Roman" w:cs="Times New Roman"/>
          <w:sz w:val="28"/>
          <w:szCs w:val="28"/>
          <w:lang w:val="kk-KZ"/>
        </w:rPr>
      </w:pPr>
      <w:r w:rsidRPr="001016A3">
        <w:rPr>
          <w:rFonts w:ascii="Times New Roman" w:hAnsi="Times New Roman" w:cs="Times New Roman"/>
          <w:b/>
          <w:bCs/>
          <w:sz w:val="28"/>
          <w:szCs w:val="28"/>
        </w:rPr>
        <w:t>Макроэкономикалық</w:t>
      </w:r>
      <w:r>
        <w:rPr>
          <w:rFonts w:ascii="Times New Roman" w:hAnsi="Times New Roman" w:cs="Times New Roman"/>
          <w:b/>
          <w:bCs/>
          <w:sz w:val="28"/>
          <w:szCs w:val="28"/>
          <w:lang w:val="ru-RU"/>
        </w:rPr>
        <w:t xml:space="preserve"> </w:t>
      </w:r>
      <w:r>
        <w:rPr>
          <w:rFonts w:ascii="Times New Roman" w:hAnsi="Times New Roman" w:cs="Times New Roman"/>
          <w:b/>
          <w:bCs/>
          <w:sz w:val="28"/>
          <w:szCs w:val="28"/>
          <w:lang w:val="kk-KZ"/>
        </w:rPr>
        <w:t>көрсеткіштерді талдау</w:t>
      </w:r>
    </w:p>
    <w:p w:rsidR="00203192" w:rsidRDefault="00203192" w:rsidP="00203192">
      <w:pPr>
        <w:spacing w:after="0" w:line="240" w:lineRule="auto"/>
        <w:jc w:val="both"/>
        <w:rPr>
          <w:rFonts w:ascii="Times New Roman" w:hAnsi="Times New Roman" w:cs="Times New Roman"/>
          <w:sz w:val="28"/>
          <w:szCs w:val="28"/>
        </w:rPr>
      </w:pPr>
      <w:r w:rsidRPr="00203192">
        <w:rPr>
          <w:rFonts w:ascii="Times New Roman" w:hAnsi="Times New Roman" w:cs="Times New Roman"/>
          <w:sz w:val="28"/>
          <w:szCs w:val="28"/>
        </w:rPr>
        <w:t xml:space="preserve">Банк саласының кредиттік-инвестициялық әлеуеті деп банк саласының қаржы ағындарын қайта бөлу, халықаралық деңгейде де, ұлттық экономиканың әртүрлі секторлары арасында да капитал қозғалысында делдалдық функцияны жүзеге асыру қабілетін түсіну керек. Кредиттік-инвестициялық әлеует есебінен тұтынушылық сұраныс ынталандырылады және экономиканың нақты секторы дамиды. Инвестицияларды қаржыландыру үшін ресурстарды тарту несиелік механизмдерді қолдана отырып, банк жүйесі арқылы да, капитал нарықтарында да жүзеге асырылуы мүмкін. </w:t>
      </w:r>
    </w:p>
    <w:p w:rsidR="00203192" w:rsidRDefault="00203192" w:rsidP="00203192">
      <w:pPr>
        <w:spacing w:after="0" w:line="240" w:lineRule="auto"/>
        <w:jc w:val="both"/>
        <w:rPr>
          <w:rFonts w:ascii="Times New Roman" w:hAnsi="Times New Roman" w:cs="Times New Roman"/>
          <w:sz w:val="28"/>
          <w:szCs w:val="28"/>
        </w:rPr>
      </w:pPr>
      <w:r w:rsidRPr="001016A3">
        <w:rPr>
          <w:rFonts w:ascii="Times New Roman" w:hAnsi="Times New Roman" w:cs="Times New Roman"/>
          <w:sz w:val="28"/>
          <w:szCs w:val="28"/>
        </w:rPr>
        <w:t>Қазақстан</w:t>
      </w:r>
      <w:r w:rsidRPr="00203192">
        <w:rPr>
          <w:rFonts w:ascii="Times New Roman" w:hAnsi="Times New Roman" w:cs="Times New Roman"/>
          <w:sz w:val="28"/>
          <w:szCs w:val="28"/>
        </w:rPr>
        <w:t xml:space="preserve"> банк саласының несиелік және инвестициялық әлеуетін арттырудың негізгі жолдары мен факторлары:</w:t>
      </w:r>
    </w:p>
    <w:p w:rsidR="00203192" w:rsidRPr="00203192" w:rsidRDefault="00203192" w:rsidP="00203192">
      <w:pPr>
        <w:pStyle w:val="a4"/>
        <w:numPr>
          <w:ilvl w:val="0"/>
          <w:numId w:val="1"/>
        </w:numPr>
        <w:tabs>
          <w:tab w:val="left" w:pos="851"/>
          <w:tab w:val="left" w:pos="993"/>
        </w:tabs>
        <w:spacing w:after="0" w:line="240" w:lineRule="auto"/>
        <w:ind w:left="0" w:firstLine="709"/>
        <w:contextualSpacing w:val="0"/>
        <w:jc w:val="both"/>
        <w:rPr>
          <w:rFonts w:ascii="Times New Roman" w:hAnsi="Times New Roman" w:cs="Times New Roman"/>
          <w:sz w:val="28"/>
          <w:szCs w:val="28"/>
        </w:rPr>
      </w:pPr>
      <w:r w:rsidRPr="00203192">
        <w:rPr>
          <w:rFonts w:ascii="Times New Roman" w:hAnsi="Times New Roman" w:cs="Times New Roman"/>
          <w:sz w:val="28"/>
          <w:szCs w:val="28"/>
        </w:rPr>
        <w:t xml:space="preserve">меншікті капиталды ұлғайту-банк жүйесін келесі көздер есебінен капиталдандыру: пайда, эмиссиялық қаражат, негізгі құралдарды қайта бағалау; * халықтың жинақтарын жинақтау; </w:t>
      </w:r>
    </w:p>
    <w:p w:rsidR="00203192" w:rsidRPr="00203192" w:rsidRDefault="00203192" w:rsidP="00203192">
      <w:pPr>
        <w:pStyle w:val="a4"/>
        <w:numPr>
          <w:ilvl w:val="0"/>
          <w:numId w:val="1"/>
        </w:numPr>
        <w:tabs>
          <w:tab w:val="left" w:pos="851"/>
          <w:tab w:val="left" w:pos="993"/>
        </w:tabs>
        <w:spacing w:after="0" w:line="240" w:lineRule="auto"/>
        <w:ind w:left="0" w:firstLine="709"/>
        <w:contextualSpacing w:val="0"/>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банк саласына шетелдік инвестицияларды тарту; </w:t>
      </w:r>
    </w:p>
    <w:p w:rsidR="00203192" w:rsidRPr="00203192" w:rsidRDefault="00203192" w:rsidP="00203192">
      <w:pPr>
        <w:pStyle w:val="a4"/>
        <w:numPr>
          <w:ilvl w:val="0"/>
          <w:numId w:val="1"/>
        </w:numPr>
        <w:tabs>
          <w:tab w:val="left" w:pos="851"/>
          <w:tab w:val="left" w:pos="993"/>
        </w:tabs>
        <w:spacing w:after="0" w:line="240" w:lineRule="auto"/>
        <w:ind w:left="0" w:firstLine="709"/>
        <w:contextualSpacing w:val="0"/>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Қазақстан</w:t>
      </w:r>
      <w:r w:rsidRPr="00203192">
        <w:rPr>
          <w:rFonts w:ascii="Times New Roman" w:hAnsi="Times New Roman" w:cs="Times New Roman"/>
          <w:sz w:val="28"/>
          <w:szCs w:val="28"/>
          <w:lang w:val="ru-RU"/>
        </w:rPr>
        <w:t xml:space="preserve"> Банкін қайта қаржыландыру құралдарын дамыту; </w:t>
      </w:r>
    </w:p>
    <w:p w:rsidR="00203192" w:rsidRDefault="00203192" w:rsidP="00203192">
      <w:pPr>
        <w:pStyle w:val="a4"/>
        <w:numPr>
          <w:ilvl w:val="0"/>
          <w:numId w:val="1"/>
        </w:numPr>
        <w:tabs>
          <w:tab w:val="left" w:pos="851"/>
          <w:tab w:val="left" w:pos="993"/>
        </w:tabs>
        <w:spacing w:after="0" w:line="240" w:lineRule="auto"/>
        <w:ind w:left="0" w:firstLine="709"/>
        <w:contextualSpacing w:val="0"/>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жалпы экономикалық жағдайды дамыту.</w:t>
      </w:r>
    </w:p>
    <w:p w:rsidR="00203192" w:rsidRDefault="00203192" w:rsidP="00203192">
      <w:pPr>
        <w:tabs>
          <w:tab w:val="left" w:pos="851"/>
          <w:tab w:val="left" w:pos="993"/>
        </w:tabs>
        <w:spacing w:after="0" w:line="240" w:lineRule="auto"/>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Банк саласының кредиттік-инвестициялық әлеуетіне әсер ететін бірінші фактор-меншікті капиталды ұлғайту, банк саласын капиталдандыру. Қазіргі уақытта меншікті капиталды ұлғайтудағы "банктердің пайдасы" көзінің рөлі аз, өйткені соңғы жылдары банктік бизнестің орташа рентабельділігі қаржылық дағдарысқа, пайыздық мөлшерлемелердің өсуіне және өтімділіктің болмауына байланысты төмендеді. Сондай-ақ, қорқыныш мерзімі өткен қарыздың тез өсіп келе жатқан жағдайында пайда деңгейінің төмендеу қаупін тудырады.</w:t>
      </w:r>
    </w:p>
    <w:p w:rsidR="00203192" w:rsidRPr="00203192" w:rsidRDefault="00203192" w:rsidP="00203192">
      <w:pPr>
        <w:tabs>
          <w:tab w:val="left" w:pos="851"/>
          <w:tab w:val="left" w:pos="993"/>
        </w:tabs>
        <w:spacing w:after="0" w:line="240" w:lineRule="auto"/>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Меншікті капиталды ұлғайтудың ең тиімді құралдары </w:t>
      </w:r>
      <w:r w:rsidRPr="00203192">
        <w:rPr>
          <w:rFonts w:ascii="Times New Roman" w:hAnsi="Times New Roman" w:cs="Times New Roman"/>
          <w:sz w:val="28"/>
          <w:szCs w:val="28"/>
        </w:rPr>
        <w:t>IPO</w:t>
      </w:r>
      <w:r w:rsidRPr="00203192">
        <w:rPr>
          <w:rFonts w:ascii="Times New Roman" w:hAnsi="Times New Roman" w:cs="Times New Roman"/>
          <w:sz w:val="28"/>
          <w:szCs w:val="28"/>
          <w:lang w:val="ru-RU"/>
        </w:rPr>
        <w:t xml:space="preserve"> (компанияның акцияларын алғашқы орналастыру, сонымен қатар эмиссия деп аталады) немесе акциялардың бір бөлігін стратегиялық инвесторға тікелей сату болып табылады. Банктің акцияларды орналастыруға жол беруін анықтайтын негізгі шектеу-бұл өте жоғары несиелік балл. Егер банктің сенімділік деңгейі дефолт ықтималдығының 20% - дан астамын болжаса, онда ол өз капиталын ұлғайту үшін инвесторларды, әсіресе шетелдіктерді тартуды пайдалана алмайды.</w:t>
      </w:r>
    </w:p>
    <w:p w:rsidR="00203192" w:rsidRDefault="00203192" w:rsidP="00203192">
      <w:pPr>
        <w:tabs>
          <w:tab w:val="left" w:pos="851"/>
          <w:tab w:val="left" w:pos="993"/>
        </w:tabs>
        <w:spacing w:after="0" w:line="240" w:lineRule="auto"/>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Қор нарығы мен борыштық құралдар нарығының маңызды айырмашылығы-инвестициялаудың үлкен уақыт көкжиектерінде ғана кепілдендірілген пайда алу мүмкіндігі. Эмитенттің ұзақ мерзімді қаржылық тұрақтылығы инвесторларды қызықтырудың маңызды шарты болып табылады. Осылайша, эмиссиялық көзден банк саласының жиынтық меншікті капиталының айтарлықтай өсімін алуға болады, бірақ бұл өсімнің шоғырлануы айқын болады. Банктер мүлік салығы бойынша салық базасының пропорционалды өсуіне байланысты негізгі құралдарды қайта бағалау сияқты капиталдандыруды арттыру көзін пайдаланғысы келмейді. Сонымен қатар, бұл көз несиелік және инвестициялық ресурстар көлемінің тікелей өсімін бермейді.</w:t>
      </w:r>
    </w:p>
    <w:p w:rsidR="00203192" w:rsidRPr="00203192" w:rsidRDefault="00203192" w:rsidP="00203192">
      <w:pPr>
        <w:tabs>
          <w:tab w:val="left" w:pos="851"/>
          <w:tab w:val="left" w:pos="993"/>
        </w:tabs>
        <w:spacing w:after="0" w:line="240" w:lineRule="auto"/>
        <w:ind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lastRenderedPageBreak/>
        <w:t>Халықтың жинақтарын жинақтау-банк саласының кредиттік-инвестициялық әлеуетіне әсер ететін тағы бір фактор. Халықтың жинақтары Банк, зейнетақы және сақтандыру жүйелерінің қатысуымен нақты секторға түседі. Коммерциялық банктердің халықтың жинақтарын тарту қабілеті қаржылық делдалдықтың қажетті шарты болып табылады. Жеке тұлғалардың номиналды немесе нақты мәндегі салымдарының динамикасы халықтың банк саласына деген сенім деңгейін және осы саланың халықтың ақшалай жинақтарын жұмылдыру бойынша делдалдық функцияларды орындау дәрежесін сипаттайды. Макроэкономикалық тұрақтылық пен ақпараттық-саяси күйзелістер банк саласына деген сенім дәрежесін анықтайды. Ақпараттық және саяси күйзелістер-бұл әдеттегі жағдайдан тыс ықтимал ақпараттық шабуылдар мен төтенше саяси оқиғалар.</w:t>
      </w:r>
    </w:p>
    <w:p w:rsidR="00203192" w:rsidRDefault="00203192" w:rsidP="00203192">
      <w:pPr>
        <w:tabs>
          <w:tab w:val="left" w:pos="851"/>
          <w:tab w:val="left" w:pos="993"/>
        </w:tabs>
        <w:spacing w:after="0" w:line="240" w:lineRule="auto"/>
        <w:ind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Саяси күйзелістерге мүмкін, бірақ мүмкін емес оқиғалар жатады. </w:t>
      </w:r>
    </w:p>
    <w:p w:rsidR="00203192" w:rsidRDefault="00203192" w:rsidP="00203192">
      <w:pPr>
        <w:tabs>
          <w:tab w:val="left" w:pos="851"/>
          <w:tab w:val="left" w:pos="993"/>
        </w:tabs>
        <w:spacing w:after="0" w:line="240" w:lineRule="auto"/>
        <w:ind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Мұндай оқиғаларға мыналар жатады: </w:t>
      </w:r>
    </w:p>
    <w:p w:rsidR="00203192" w:rsidRPr="00203192" w:rsidRDefault="00203192" w:rsidP="00203192">
      <w:pPr>
        <w:pStyle w:val="a4"/>
        <w:numPr>
          <w:ilvl w:val="0"/>
          <w:numId w:val="3"/>
        </w:numPr>
        <w:tabs>
          <w:tab w:val="left" w:pos="851"/>
          <w:tab w:val="left" w:pos="993"/>
        </w:tabs>
        <w:spacing w:after="0" w:line="240" w:lineRule="auto"/>
        <w:ind w:left="0" w:firstLine="709"/>
        <w:contextualSpacing w:val="0"/>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монетарлық билік жүргізетін инерциялық саясат; </w:t>
      </w:r>
    </w:p>
    <w:p w:rsidR="00203192" w:rsidRPr="00203192" w:rsidRDefault="00203192" w:rsidP="00203192">
      <w:pPr>
        <w:pStyle w:val="a4"/>
        <w:numPr>
          <w:ilvl w:val="0"/>
          <w:numId w:val="3"/>
        </w:numPr>
        <w:tabs>
          <w:tab w:val="left" w:pos="851"/>
          <w:tab w:val="left" w:pos="993"/>
        </w:tabs>
        <w:spacing w:after="0" w:line="240" w:lineRule="auto"/>
        <w:ind w:left="0" w:firstLine="709"/>
        <w:contextualSpacing w:val="0"/>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жүйе құраушы ресейлік банктердің немесе олармен үлестес компаниялардың шетелдік активтерін тыйым салу; </w:t>
      </w:r>
    </w:p>
    <w:p w:rsidR="00203192" w:rsidRPr="00203192" w:rsidRDefault="00203192" w:rsidP="00203192">
      <w:pPr>
        <w:pStyle w:val="a4"/>
        <w:numPr>
          <w:ilvl w:val="0"/>
          <w:numId w:val="3"/>
        </w:numPr>
        <w:tabs>
          <w:tab w:val="left" w:pos="851"/>
          <w:tab w:val="left" w:pos="993"/>
        </w:tabs>
        <w:spacing w:after="0" w:line="240" w:lineRule="auto"/>
        <w:ind w:left="0" w:firstLine="709"/>
        <w:contextualSpacing w:val="0"/>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көптеген ресейлік банктердің қызметіне қатысты шетелдік тергеулер немесе сот процестері; </w:t>
      </w:r>
    </w:p>
    <w:p w:rsidR="00203192" w:rsidRPr="00203192" w:rsidRDefault="00203192" w:rsidP="00203192">
      <w:pPr>
        <w:pStyle w:val="a4"/>
        <w:numPr>
          <w:ilvl w:val="0"/>
          <w:numId w:val="3"/>
        </w:numPr>
        <w:tabs>
          <w:tab w:val="left" w:pos="851"/>
          <w:tab w:val="left" w:pos="993"/>
        </w:tabs>
        <w:spacing w:after="0" w:line="240" w:lineRule="auto"/>
        <w:ind w:left="0" w:firstLine="709"/>
        <w:contextualSpacing w:val="0"/>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заңнамалық және нормативтік талаптардың жаппай бұзылуына байланысты көптеген банктерде банк қызметіне лицензияларды қайта қарау (немесе қайта қарау мүмкіндігі); </w:t>
      </w:r>
    </w:p>
    <w:p w:rsidR="00203192" w:rsidRDefault="00203192" w:rsidP="00203192">
      <w:pPr>
        <w:pStyle w:val="a4"/>
        <w:numPr>
          <w:ilvl w:val="0"/>
          <w:numId w:val="3"/>
        </w:numPr>
        <w:tabs>
          <w:tab w:val="left" w:pos="851"/>
          <w:tab w:val="left" w:pos="993"/>
        </w:tabs>
        <w:spacing w:after="0" w:line="240" w:lineRule="auto"/>
        <w:ind w:left="0" w:firstLine="709"/>
        <w:contextualSpacing w:val="0"/>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коммерциялық банктердің немесе олармен байланысты ұйымдардың едәуір санына қойылатын салық және құқық қорғау органдарының маңызды талаптары; </w:t>
      </w:r>
    </w:p>
    <w:p w:rsidR="00203192" w:rsidRDefault="00203192" w:rsidP="00203192">
      <w:pPr>
        <w:pStyle w:val="a4"/>
        <w:numPr>
          <w:ilvl w:val="0"/>
          <w:numId w:val="3"/>
        </w:numPr>
        <w:tabs>
          <w:tab w:val="left" w:pos="851"/>
          <w:tab w:val="left" w:pos="993"/>
        </w:tabs>
        <w:spacing w:after="0" w:line="240" w:lineRule="auto"/>
        <w:ind w:left="0" w:firstLine="709"/>
        <w:contextualSpacing w:val="0"/>
        <w:jc w:val="both"/>
        <w:rPr>
          <w:rFonts w:ascii="Times New Roman" w:hAnsi="Times New Roman" w:cs="Times New Roman"/>
          <w:sz w:val="28"/>
          <w:szCs w:val="28"/>
          <w:lang w:val="ru-RU"/>
        </w:rPr>
      </w:pPr>
      <w:r w:rsidRPr="00203192">
        <w:rPr>
          <w:rFonts w:ascii="Times New Roman" w:hAnsi="Times New Roman" w:cs="Times New Roman"/>
          <w:sz w:val="28"/>
          <w:szCs w:val="28"/>
        </w:rPr>
        <w:t>FATF</w:t>
      </w:r>
      <w:r w:rsidRPr="00203192">
        <w:rPr>
          <w:rFonts w:ascii="Times New Roman" w:hAnsi="Times New Roman" w:cs="Times New Roman"/>
          <w:sz w:val="28"/>
          <w:szCs w:val="28"/>
          <w:lang w:val="ru-RU"/>
        </w:rPr>
        <w:t xml:space="preserve">, </w:t>
      </w:r>
      <w:r w:rsidRPr="00203192">
        <w:rPr>
          <w:rFonts w:ascii="Times New Roman" w:hAnsi="Times New Roman" w:cs="Times New Roman"/>
          <w:sz w:val="28"/>
          <w:szCs w:val="28"/>
        </w:rPr>
        <w:t>BIS</w:t>
      </w:r>
      <w:r w:rsidRPr="00203192">
        <w:rPr>
          <w:rFonts w:ascii="Times New Roman" w:hAnsi="Times New Roman" w:cs="Times New Roman"/>
          <w:sz w:val="28"/>
          <w:szCs w:val="28"/>
          <w:lang w:val="ru-RU"/>
        </w:rPr>
        <w:t>, Базель комитеті сияқты реттеуші халықаралық ұйымдардың ресейлік коммерциялық банктердің қызметін едәуір қиындататын және олардың бәсекелестік позицияларын едәуір төмендететін шешімдер қабылдауы.</w:t>
      </w:r>
    </w:p>
    <w:p w:rsidR="00203192" w:rsidRPr="00203192" w:rsidRDefault="00203192" w:rsidP="00203192">
      <w:pPr>
        <w:tabs>
          <w:tab w:val="left" w:pos="851"/>
          <w:tab w:val="left" w:pos="993"/>
        </w:tabs>
        <w:spacing w:after="0" w:line="240" w:lineRule="auto"/>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Жеке тұлғалар депозиттерінің жалпы көлеміндегі талап етілгенге дейінгі салымдар мен мерзімді салымдардың үлесі банк саласының жай-күйін сипаттайтын маңызды көрсеткіш болып табылады. Бұл көрсеткіш банк саласына деген сенім дәрежесін көрсетеді, бұл ұзақ мерзімді несиелеуді дамыту үшін ресурстық базаны қалыптастыратын және қаржы делдалдары үшін негізгі ресурс болып табылатын мерзімді салымдар.</w:t>
      </w:r>
    </w:p>
    <w:p w:rsidR="00203192" w:rsidRPr="00203192" w:rsidRDefault="00203192" w:rsidP="00203192">
      <w:pPr>
        <w:tabs>
          <w:tab w:val="left" w:pos="851"/>
          <w:tab w:val="left" w:pos="993"/>
        </w:tabs>
        <w:spacing w:after="0" w:line="240" w:lineRule="auto"/>
        <w:ind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Банк жүйесіне шетелдік инвестициялар-банк саласының кредиттік-инвестициялық әлеуетіне әсер ететін тағы бір фактор. Банк жүйесіне шетелдік инвестициялар деп шетелдік банктердің тіркелген жарғылық капиталындағы және бүкіл банк жүйесінің активтеріндегі үлесі түсініледі. Шетелдік банктер көбінесе бас компаниялар арқылы арзан және қол жетімді капиталға қол жеткізе алатындықтан, банк жүйесінде шетелдік инвестициялардың болуы несиелік және инвестициялық әлеуеттің өсуіне оң әсер етеді. Шетелдік банктердің банк </w:t>
      </w:r>
      <w:r w:rsidRPr="00203192">
        <w:rPr>
          <w:rFonts w:ascii="Times New Roman" w:hAnsi="Times New Roman" w:cs="Times New Roman"/>
          <w:sz w:val="28"/>
          <w:szCs w:val="28"/>
          <w:lang w:val="ru-RU"/>
        </w:rPr>
        <w:lastRenderedPageBreak/>
        <w:t>саласының несиелік және инвестициялық әлеуетінің өзгеруіне әсерін екі жолмен бағалауға болады:</w:t>
      </w:r>
    </w:p>
    <w:p w:rsidR="00203192" w:rsidRPr="00203192" w:rsidRDefault="00203192" w:rsidP="00203192">
      <w:pPr>
        <w:pStyle w:val="a4"/>
        <w:numPr>
          <w:ilvl w:val="0"/>
          <w:numId w:val="5"/>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коммерциялық банктердің жарғылық капиталындағы шетелдік инвестициялардың өсу серпінін бағалау; </w:t>
      </w:r>
    </w:p>
    <w:p w:rsidR="00203192" w:rsidRPr="00203192" w:rsidRDefault="00203192" w:rsidP="00203192">
      <w:pPr>
        <w:pStyle w:val="a4"/>
        <w:numPr>
          <w:ilvl w:val="0"/>
          <w:numId w:val="5"/>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шетелдік банктің ресурстық базасын талдау. </w:t>
      </w:r>
    </w:p>
    <w:p w:rsidR="00203192" w:rsidRDefault="00203192" w:rsidP="00203192">
      <w:pPr>
        <w:tabs>
          <w:tab w:val="left" w:pos="851"/>
          <w:tab w:val="left" w:pos="993"/>
        </w:tabs>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Қазақстандық</w:t>
      </w:r>
      <w:r w:rsidRPr="00203192">
        <w:rPr>
          <w:rFonts w:ascii="Times New Roman" w:hAnsi="Times New Roman" w:cs="Times New Roman"/>
          <w:sz w:val="28"/>
          <w:szCs w:val="28"/>
          <w:lang w:val="ru-RU"/>
        </w:rPr>
        <w:t xml:space="preserve"> банк саласын әлемдік қаржы жүйесіне интеграциялау процесінің артықшылықтары да, кемшіліктері де бар. </w:t>
      </w:r>
    </w:p>
    <w:p w:rsidR="00203192" w:rsidRDefault="00203192" w:rsidP="00203192">
      <w:pPr>
        <w:tabs>
          <w:tab w:val="left" w:pos="851"/>
          <w:tab w:val="left" w:pos="993"/>
        </w:tabs>
        <w:spacing w:after="0" w:line="240" w:lineRule="auto"/>
        <w:ind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Артықшылығы</w:t>
      </w:r>
      <w:r>
        <w:rPr>
          <w:rFonts w:ascii="Times New Roman" w:hAnsi="Times New Roman" w:cs="Times New Roman"/>
          <w:sz w:val="28"/>
          <w:szCs w:val="28"/>
          <w:lang w:val="ru-RU"/>
        </w:rPr>
        <w:t xml:space="preserve"> </w:t>
      </w:r>
      <w:r w:rsidRPr="00203192">
        <w:rPr>
          <w:rFonts w:ascii="Times New Roman" w:hAnsi="Times New Roman" w:cs="Times New Roman"/>
          <w:sz w:val="28"/>
          <w:szCs w:val="28"/>
          <w:lang w:val="ru-RU"/>
        </w:rPr>
        <w:t>-</w:t>
      </w:r>
      <w:r>
        <w:rPr>
          <w:rFonts w:ascii="Times New Roman" w:hAnsi="Times New Roman" w:cs="Times New Roman"/>
          <w:sz w:val="28"/>
          <w:szCs w:val="28"/>
          <w:lang w:val="ru-RU"/>
        </w:rPr>
        <w:t xml:space="preserve"> </w:t>
      </w:r>
      <w:r w:rsidRPr="00203192">
        <w:rPr>
          <w:rFonts w:ascii="Times New Roman" w:hAnsi="Times New Roman" w:cs="Times New Roman"/>
          <w:sz w:val="28"/>
          <w:szCs w:val="28"/>
          <w:lang w:val="ru-RU"/>
        </w:rPr>
        <w:t xml:space="preserve">пассив көздерін кеңейту арқылы банк саласы ұлттық экономикадағы күйзелістерге төзімді бола бастайды. Алайда, жаһандық қаржылық күйзелістер жағдайында ұлттық экономиканың халықаралық капитал қозғалысына тәуелділігі неғұрлым күшті болса, оған теріс әсер соғұрлым жоғары болады. </w:t>
      </w:r>
    </w:p>
    <w:p w:rsidR="00203192" w:rsidRDefault="00203192" w:rsidP="00203192">
      <w:pPr>
        <w:tabs>
          <w:tab w:val="left" w:pos="851"/>
          <w:tab w:val="left" w:pos="993"/>
        </w:tabs>
        <w:spacing w:after="0" w:line="240" w:lineRule="auto"/>
        <w:ind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Ұлттық банк саласының әлемдік экономикаға интеграциялану дәрежесін сипаттайтын факторлар: </w:t>
      </w:r>
    </w:p>
    <w:p w:rsidR="00203192" w:rsidRPr="00203192" w:rsidRDefault="00203192" w:rsidP="00203192">
      <w:pPr>
        <w:pStyle w:val="a4"/>
        <w:numPr>
          <w:ilvl w:val="0"/>
          <w:numId w:val="7"/>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банк жүйесінің активтеріндегі немесе жарғылық капиталындағы шетелдік банктердің үлесі; </w:t>
      </w:r>
    </w:p>
    <w:p w:rsidR="00203192" w:rsidRPr="00203192" w:rsidRDefault="00203192" w:rsidP="00203192">
      <w:pPr>
        <w:pStyle w:val="a4"/>
        <w:numPr>
          <w:ilvl w:val="0"/>
          <w:numId w:val="7"/>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Қазақстанның қаржылық емес секторының сыртқы қарызының үлесі; </w:t>
      </w:r>
    </w:p>
    <w:p w:rsidR="00203192" w:rsidRPr="00203192" w:rsidRDefault="00203192" w:rsidP="00203192">
      <w:pPr>
        <w:pStyle w:val="a4"/>
        <w:numPr>
          <w:ilvl w:val="0"/>
          <w:numId w:val="7"/>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банк жүйесінің міндеттемелерінің жалпы құрылымындағы банк жүйесінің сыртқы борышының үлесі.</w:t>
      </w:r>
    </w:p>
    <w:p w:rsidR="00203192" w:rsidRDefault="00203192" w:rsidP="00203192">
      <w:pPr>
        <w:tabs>
          <w:tab w:val="left" w:pos="851"/>
          <w:tab w:val="left" w:pos="993"/>
        </w:tabs>
        <w:spacing w:after="0" w:line="240" w:lineRule="auto"/>
        <w:ind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"Қаржылық емес сектордың сыртқы қарызының үлесі" факторы </w:t>
      </w:r>
      <w:r w:rsidRPr="00203192">
        <w:rPr>
          <w:rFonts w:ascii="Times New Roman" w:hAnsi="Times New Roman" w:cs="Times New Roman"/>
          <w:sz w:val="28"/>
          <w:szCs w:val="28"/>
          <w:lang w:val="ru-RU"/>
        </w:rPr>
        <w:t>Қазақстанның</w:t>
      </w:r>
      <w:r w:rsidRPr="00203192">
        <w:rPr>
          <w:rFonts w:ascii="Times New Roman" w:hAnsi="Times New Roman" w:cs="Times New Roman"/>
          <w:sz w:val="28"/>
          <w:szCs w:val="28"/>
          <w:lang w:val="ru-RU"/>
        </w:rPr>
        <w:t xml:space="preserve"> экономикалық дамуы үшін үлкен маңызға ие. Бір жағынан, тізбек жұмыс істейді: еурорынықтарға қолжетімділікті тарылту — экономиканың нақты секторына инвестициялар көлемін азайту — жан басына шаққандағы ЖІӨ факторының динамикасын бәсеңдету. Екінші жағынан, қаржылық емес сектордың сыртқы қарызының үлесі неғұрлым жоғары болса, </w:t>
      </w:r>
      <w:r w:rsidRPr="00203192">
        <w:rPr>
          <w:rFonts w:ascii="Times New Roman" w:hAnsi="Times New Roman" w:cs="Times New Roman"/>
          <w:sz w:val="28"/>
          <w:szCs w:val="28"/>
          <w:lang w:val="ru-RU"/>
        </w:rPr>
        <w:t>Қазақстанның</w:t>
      </w:r>
      <w:r w:rsidRPr="00203192">
        <w:rPr>
          <w:rFonts w:ascii="Times New Roman" w:hAnsi="Times New Roman" w:cs="Times New Roman"/>
          <w:sz w:val="28"/>
          <w:szCs w:val="28"/>
          <w:lang w:val="ru-RU"/>
        </w:rPr>
        <w:t xml:space="preserve"> экономикасының сыртқы факторларға тәуелділігі соғұрлым жоғары болады. </w:t>
      </w:r>
      <w:r w:rsidRPr="00203192">
        <w:rPr>
          <w:rFonts w:ascii="Times New Roman" w:hAnsi="Times New Roman" w:cs="Times New Roman"/>
          <w:sz w:val="28"/>
          <w:szCs w:val="28"/>
          <w:lang w:val="ru-RU"/>
        </w:rPr>
        <w:t>Қазақстанның</w:t>
      </w:r>
      <w:r w:rsidRPr="00203192">
        <w:rPr>
          <w:rFonts w:ascii="Times New Roman" w:hAnsi="Times New Roman" w:cs="Times New Roman"/>
          <w:sz w:val="28"/>
          <w:szCs w:val="28"/>
          <w:lang w:val="ru-RU"/>
        </w:rPr>
        <w:t xml:space="preserve"> </w:t>
      </w:r>
      <w:r>
        <w:rPr>
          <w:rFonts w:ascii="Times New Roman" w:hAnsi="Times New Roman" w:cs="Times New Roman"/>
          <w:sz w:val="28"/>
          <w:szCs w:val="28"/>
          <w:lang w:val="ru-RU"/>
        </w:rPr>
        <w:t>Ұлттық</w:t>
      </w:r>
      <w:r w:rsidRPr="00203192">
        <w:rPr>
          <w:rFonts w:ascii="Times New Roman" w:hAnsi="Times New Roman" w:cs="Times New Roman"/>
          <w:sz w:val="28"/>
          <w:szCs w:val="28"/>
          <w:lang w:val="ru-RU"/>
        </w:rPr>
        <w:t xml:space="preserve"> банкін қайта қаржыландыру құралдарының дамуы банк саласының несиелік және инвестициялық әлеуетіне де әсер етеді. Коммерциялық банктерді қайта қаржыландыру құралдарының тиімділігін арттыру, сондай-ақ олардың дамуы өтімділік дағдарыстары жағдайында маңызды фактор болып табылады. Қайта қаржыландырудың тиімділігі деп қаржы қаражатын мақсатты пайдалану және қаражатты банк жүйесінде біркелкі бөлу түсініледі.</w:t>
      </w:r>
    </w:p>
    <w:p w:rsidR="00203192" w:rsidRDefault="00203192" w:rsidP="00203192">
      <w:pPr>
        <w:tabs>
          <w:tab w:val="left" w:pos="851"/>
          <w:tab w:val="left" w:pos="993"/>
        </w:tabs>
        <w:spacing w:after="0" w:line="240" w:lineRule="auto"/>
        <w:ind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Қаржы қаражатын мақсатты пайдалану мыналарды қамтиды: экономиканы ұзақ мерзімді кредиттік ресурстармен толықтыру, стратегиялық экономикалық объектілерге инвестициялау, шетелдік активтерге бағытталған қаражат үлесін азайту. Банк саласының кредиттік-инвестициялық әлеуетіне әсер ететін соңғы фактор-жалпы экономикалық конъюнктура есебінен қаражат ағынының ұлғаюы. Бұл әсерге келесі компоненттердің арқасында қол жеткізуге болады: </w:t>
      </w:r>
    </w:p>
    <w:p w:rsidR="00203192" w:rsidRPr="00203192" w:rsidRDefault="00203192" w:rsidP="00203192">
      <w:pPr>
        <w:pStyle w:val="a4"/>
        <w:numPr>
          <w:ilvl w:val="0"/>
          <w:numId w:val="9"/>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несиелік және инвестициялық ресурстардың жоғалуына әкелетін "жаман" қарыздардың төмендеуі; </w:t>
      </w:r>
    </w:p>
    <w:p w:rsidR="00203192" w:rsidRPr="00203192" w:rsidRDefault="00203192" w:rsidP="00203192">
      <w:pPr>
        <w:pStyle w:val="a4"/>
        <w:numPr>
          <w:ilvl w:val="0"/>
          <w:numId w:val="9"/>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 xml:space="preserve">банктердегі шоттардағы қаражат қалдықтарының ұлғаюына әкелетін экономикалық субъектілердің пайдасын ұлғайту </w:t>
      </w:r>
    </w:p>
    <w:p w:rsidR="00203192" w:rsidRPr="00203192" w:rsidRDefault="00203192" w:rsidP="00203192">
      <w:pPr>
        <w:pStyle w:val="a4"/>
        <w:numPr>
          <w:ilvl w:val="0"/>
          <w:numId w:val="9"/>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lastRenderedPageBreak/>
        <w:t xml:space="preserve">капитал ағынын азайту; </w:t>
      </w:r>
    </w:p>
    <w:p w:rsidR="00203192" w:rsidRPr="00203192" w:rsidRDefault="00203192" w:rsidP="00203192">
      <w:pPr>
        <w:pStyle w:val="a4"/>
        <w:numPr>
          <w:ilvl w:val="0"/>
          <w:numId w:val="9"/>
        </w:numPr>
        <w:tabs>
          <w:tab w:val="left" w:pos="851"/>
          <w:tab w:val="left" w:pos="993"/>
        </w:tabs>
        <w:spacing w:after="0" w:line="240" w:lineRule="auto"/>
        <w:ind w:left="0" w:firstLine="709"/>
        <w:jc w:val="both"/>
        <w:rPr>
          <w:rFonts w:ascii="Times New Roman" w:hAnsi="Times New Roman" w:cs="Times New Roman"/>
          <w:sz w:val="28"/>
          <w:szCs w:val="28"/>
          <w:lang w:val="ru-RU"/>
        </w:rPr>
      </w:pPr>
      <w:r w:rsidRPr="00203192">
        <w:rPr>
          <w:rFonts w:ascii="Times New Roman" w:hAnsi="Times New Roman" w:cs="Times New Roman"/>
          <w:sz w:val="28"/>
          <w:szCs w:val="28"/>
          <w:lang w:val="ru-RU"/>
        </w:rPr>
        <w:t>инфляция деңгейін реттеу.</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203192">
        <w:rPr>
          <w:rFonts w:ascii="Times New Roman" w:hAnsi="Times New Roman" w:cs="Times New Roman"/>
          <w:b/>
          <w:bCs/>
          <w:sz w:val="28"/>
          <w:szCs w:val="28"/>
          <w:lang w:val="ru-RU"/>
        </w:rPr>
        <w:t>Банк ақпаратына сүйенсек,</w:t>
      </w:r>
      <w:r w:rsidRPr="001016A3">
        <w:rPr>
          <w:rFonts w:ascii="Times New Roman" w:hAnsi="Times New Roman" w:cs="Times New Roman"/>
          <w:sz w:val="28"/>
          <w:szCs w:val="28"/>
        </w:rPr>
        <w:t> </w:t>
      </w:r>
      <w:r w:rsidRPr="00203192">
        <w:rPr>
          <w:rFonts w:ascii="Times New Roman" w:hAnsi="Times New Roman" w:cs="Times New Roman"/>
          <w:sz w:val="28"/>
          <w:szCs w:val="28"/>
          <w:lang w:val="ru-RU"/>
        </w:rPr>
        <w:t xml:space="preserve">сарапшылар Қазақстан экономикасының өсуі және 2024-2025 жылдарға арналған мұнай бағасы бойынша күтулерді сақтап қалды. </w:t>
      </w:r>
      <w:r w:rsidRPr="001016A3">
        <w:rPr>
          <w:rFonts w:ascii="Times New Roman" w:hAnsi="Times New Roman" w:cs="Times New Roman"/>
          <w:sz w:val="28"/>
          <w:szCs w:val="28"/>
        </w:rPr>
        <w:t>Бұл ретте басқа параметрлерге қатысты болжамдар біршама өзгерді.</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b/>
          <w:bCs/>
          <w:sz w:val="28"/>
          <w:szCs w:val="28"/>
        </w:rPr>
        <w:t>Сауалнаманың негізгі параметрі –</w:t>
      </w:r>
      <w:r w:rsidRPr="001016A3">
        <w:rPr>
          <w:rFonts w:ascii="Times New Roman" w:hAnsi="Times New Roman" w:cs="Times New Roman"/>
          <w:sz w:val="28"/>
          <w:szCs w:val="28"/>
        </w:rPr>
        <w:t> Brent маркалы мұнайдың бағасы, жалпы ішкі өнім, тұтыну бағаларының индексі, базалық мөлшерлеме, тауарлардың, қызметтердің экспорты мен импорты, ұлттық валюта бағамы.</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Сауалнамаға Қазақстан бойынша макроэкономикалық көрсеткіштерді талдап, болжаумен айналысатын </w:t>
      </w:r>
      <w:hyperlink r:id="rId5" w:history="1">
        <w:r w:rsidRPr="001016A3">
          <w:rPr>
            <w:rStyle w:val="a3"/>
            <w:rFonts w:ascii="Times New Roman" w:hAnsi="Times New Roman" w:cs="Times New Roman"/>
            <w:sz w:val="28"/>
            <w:szCs w:val="28"/>
          </w:rPr>
          <w:t>12 ұйым </w:t>
        </w:r>
      </w:hyperlink>
      <w:r w:rsidRPr="001016A3">
        <w:rPr>
          <w:rFonts w:ascii="Times New Roman" w:hAnsi="Times New Roman" w:cs="Times New Roman"/>
          <w:sz w:val="28"/>
          <w:szCs w:val="28"/>
        </w:rPr>
        <w:t>қатысқан. Респонденттер қатарына нарықтағы кәсіби қатысушылар, зерттеу институттары, халықаралық ұйымдар мен рейтингтік агенттіктер кірді.</w:t>
      </w:r>
    </w:p>
    <w:p w:rsidR="001016A3" w:rsidRPr="001016A3" w:rsidRDefault="001016A3" w:rsidP="00203192">
      <w:pPr>
        <w:spacing w:after="0" w:line="240" w:lineRule="auto"/>
        <w:ind w:firstLine="709"/>
        <w:jc w:val="both"/>
        <w:rPr>
          <w:rFonts w:ascii="Times New Roman" w:hAnsi="Times New Roman" w:cs="Times New Roman"/>
          <w:i/>
          <w:iCs/>
          <w:sz w:val="28"/>
          <w:szCs w:val="28"/>
        </w:rPr>
      </w:pPr>
      <w:r w:rsidRPr="001016A3">
        <w:rPr>
          <w:rFonts w:ascii="Times New Roman" w:hAnsi="Times New Roman" w:cs="Times New Roman"/>
          <w:i/>
          <w:iCs/>
          <w:sz w:val="28"/>
          <w:szCs w:val="28"/>
        </w:rPr>
        <w:t>«Биыл ақпан айында мұнай бағасына қатысты сценарий шарттары айтарлықтай өзгерген жоқ. Респонденттердің орташа күтулеріне сүйенсек, 2024 жылы Brent маркалы мұнайдың бағасы барреліне </w:t>
      </w:r>
      <w:r w:rsidRPr="001016A3">
        <w:rPr>
          <w:rFonts w:ascii="Times New Roman" w:hAnsi="Times New Roman" w:cs="Times New Roman"/>
          <w:b/>
          <w:bCs/>
          <w:i/>
          <w:iCs/>
          <w:sz w:val="28"/>
          <w:szCs w:val="28"/>
        </w:rPr>
        <w:t>80,5</w:t>
      </w:r>
      <w:r w:rsidRPr="001016A3">
        <w:rPr>
          <w:rFonts w:ascii="Times New Roman" w:hAnsi="Times New Roman" w:cs="Times New Roman"/>
          <w:i/>
          <w:iCs/>
          <w:sz w:val="28"/>
          <w:szCs w:val="28"/>
        </w:rPr>
        <w:t> АҚШ доллары деңгейінде қалыптасады. 2025 және 2026 жылдарға негізделген күтулер өзгеріссіз қалды», – делінген хабарламада.</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Сөйтіп Қазақстан экономикасының 2024 және 2025 жылдарға арналған өсімі бойынша бағалау тиісінше </w:t>
      </w:r>
      <w:r w:rsidRPr="001016A3">
        <w:rPr>
          <w:rFonts w:ascii="Times New Roman" w:hAnsi="Times New Roman" w:cs="Times New Roman"/>
          <w:b/>
          <w:bCs/>
          <w:sz w:val="28"/>
          <w:szCs w:val="28"/>
        </w:rPr>
        <w:t>4,5%</w:t>
      </w:r>
      <w:r w:rsidRPr="001016A3">
        <w:rPr>
          <w:rFonts w:ascii="Times New Roman" w:hAnsi="Times New Roman" w:cs="Times New Roman"/>
          <w:sz w:val="28"/>
          <w:szCs w:val="28"/>
        </w:rPr>
        <w:t> және </w:t>
      </w:r>
      <w:r w:rsidRPr="001016A3">
        <w:rPr>
          <w:rFonts w:ascii="Times New Roman" w:hAnsi="Times New Roman" w:cs="Times New Roman"/>
          <w:b/>
          <w:bCs/>
          <w:sz w:val="28"/>
          <w:szCs w:val="28"/>
        </w:rPr>
        <w:t>5%</w:t>
      </w:r>
      <w:r w:rsidRPr="001016A3">
        <w:rPr>
          <w:rFonts w:ascii="Times New Roman" w:hAnsi="Times New Roman" w:cs="Times New Roman"/>
          <w:sz w:val="28"/>
          <w:szCs w:val="28"/>
        </w:rPr>
        <w:t> деңгейінде сақталды. 2026 жылға болжам 4,2%-дан </w:t>
      </w:r>
      <w:r w:rsidRPr="001016A3">
        <w:rPr>
          <w:rFonts w:ascii="Times New Roman" w:hAnsi="Times New Roman" w:cs="Times New Roman"/>
          <w:b/>
          <w:bCs/>
          <w:sz w:val="28"/>
          <w:szCs w:val="28"/>
        </w:rPr>
        <w:t>4,5%</w:t>
      </w:r>
      <w:r w:rsidRPr="001016A3">
        <w:rPr>
          <w:rFonts w:ascii="Times New Roman" w:hAnsi="Times New Roman" w:cs="Times New Roman"/>
          <w:sz w:val="28"/>
          <w:szCs w:val="28"/>
        </w:rPr>
        <w:t>-ға дейін жақсарды.</w:t>
      </w:r>
    </w:p>
    <w:p w:rsidR="001016A3" w:rsidRPr="001016A3" w:rsidRDefault="001016A3" w:rsidP="00203192">
      <w:pPr>
        <w:spacing w:after="0" w:line="240" w:lineRule="auto"/>
        <w:ind w:firstLine="709"/>
        <w:jc w:val="both"/>
        <w:rPr>
          <w:rFonts w:ascii="Times New Roman" w:hAnsi="Times New Roman" w:cs="Times New Roman"/>
          <w:i/>
          <w:iCs/>
          <w:sz w:val="28"/>
          <w:szCs w:val="28"/>
        </w:rPr>
      </w:pPr>
      <w:r w:rsidRPr="001016A3">
        <w:rPr>
          <w:rFonts w:ascii="Times New Roman" w:hAnsi="Times New Roman" w:cs="Times New Roman"/>
          <w:i/>
          <w:iCs/>
          <w:sz w:val="28"/>
          <w:szCs w:val="28"/>
        </w:rPr>
        <w:t>«Талдаушылар 2024 жылы инфляцияның барынша жоғары деңгейін күтеді. Бұл – болжамдарды 7,5%-дан </w:t>
      </w:r>
      <w:r w:rsidRPr="001016A3">
        <w:rPr>
          <w:rFonts w:ascii="Times New Roman" w:hAnsi="Times New Roman" w:cs="Times New Roman"/>
          <w:b/>
          <w:bCs/>
          <w:i/>
          <w:iCs/>
          <w:sz w:val="28"/>
          <w:szCs w:val="28"/>
        </w:rPr>
        <w:t>8,5%-</w:t>
      </w:r>
      <w:r w:rsidRPr="001016A3">
        <w:rPr>
          <w:rFonts w:ascii="Times New Roman" w:hAnsi="Times New Roman" w:cs="Times New Roman"/>
          <w:i/>
          <w:iCs/>
          <w:sz w:val="28"/>
          <w:szCs w:val="28"/>
        </w:rPr>
        <w:t>ға дейін көтеру жағына қайта қаралғанын білдіреді. Ал, 2025 жылға арналған инфляциялық бағалаулар 6,9%-дан </w:t>
      </w:r>
      <w:r w:rsidRPr="001016A3">
        <w:rPr>
          <w:rFonts w:ascii="Times New Roman" w:hAnsi="Times New Roman" w:cs="Times New Roman"/>
          <w:b/>
          <w:bCs/>
          <w:i/>
          <w:iCs/>
          <w:sz w:val="28"/>
          <w:szCs w:val="28"/>
        </w:rPr>
        <w:t>6,5%-</w:t>
      </w:r>
      <w:r w:rsidRPr="001016A3">
        <w:rPr>
          <w:rFonts w:ascii="Times New Roman" w:hAnsi="Times New Roman" w:cs="Times New Roman"/>
          <w:i/>
          <w:iCs/>
          <w:sz w:val="28"/>
          <w:szCs w:val="28"/>
        </w:rPr>
        <w:t>ға дейін төмендетілді. Болжам жасайтын аралықтың соңына қарай респонденттер 5%-дық мақсат кезінде инфляция </w:t>
      </w:r>
      <w:r w:rsidRPr="001016A3">
        <w:rPr>
          <w:rFonts w:ascii="Times New Roman" w:hAnsi="Times New Roman" w:cs="Times New Roman"/>
          <w:b/>
          <w:bCs/>
          <w:i/>
          <w:iCs/>
          <w:sz w:val="28"/>
          <w:szCs w:val="28"/>
        </w:rPr>
        <w:t>5,7%-</w:t>
      </w:r>
      <w:r w:rsidRPr="001016A3">
        <w:rPr>
          <w:rFonts w:ascii="Times New Roman" w:hAnsi="Times New Roman" w:cs="Times New Roman"/>
          <w:i/>
          <w:iCs/>
          <w:sz w:val="28"/>
          <w:szCs w:val="28"/>
        </w:rPr>
        <w:t>ға дейін баяулайды деп күтеді», – делінген ҚР Ұлттық Банк баспасөз қызметінде.</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Айта кетейік, инфляция бойынша берілген бағалардың өзгеруіне ілесе отырып, талдаушылардың 2024 жылға арналған базалық мөлшерлеме деңгейіне қатысты күтулері де қайта қаралды. Ол 13,5%-дан </w:t>
      </w:r>
      <w:r w:rsidRPr="001016A3">
        <w:rPr>
          <w:rFonts w:ascii="Times New Roman" w:hAnsi="Times New Roman" w:cs="Times New Roman"/>
          <w:b/>
          <w:bCs/>
          <w:sz w:val="28"/>
          <w:szCs w:val="28"/>
        </w:rPr>
        <w:t>13,8</w:t>
      </w:r>
      <w:r w:rsidRPr="001016A3">
        <w:rPr>
          <w:rFonts w:ascii="Times New Roman" w:hAnsi="Times New Roman" w:cs="Times New Roman"/>
          <w:sz w:val="28"/>
          <w:szCs w:val="28"/>
        </w:rPr>
        <w:t>%-ға дейін өскенін көрсетті. 2025 және 2026 жылдарға арналған базалық мөлшерлеме бойынша болжамдардың медианалық мәні тиісінше </w:t>
      </w:r>
      <w:r w:rsidRPr="001016A3">
        <w:rPr>
          <w:rFonts w:ascii="Times New Roman" w:hAnsi="Times New Roman" w:cs="Times New Roman"/>
          <w:b/>
          <w:bCs/>
          <w:sz w:val="28"/>
          <w:szCs w:val="28"/>
        </w:rPr>
        <w:t>10,5</w:t>
      </w:r>
      <w:r w:rsidRPr="001016A3">
        <w:rPr>
          <w:rFonts w:ascii="Times New Roman" w:hAnsi="Times New Roman" w:cs="Times New Roman"/>
          <w:sz w:val="28"/>
          <w:szCs w:val="28"/>
        </w:rPr>
        <w:t>% және </w:t>
      </w:r>
      <w:r w:rsidRPr="001016A3">
        <w:rPr>
          <w:rFonts w:ascii="Times New Roman" w:hAnsi="Times New Roman" w:cs="Times New Roman"/>
          <w:b/>
          <w:bCs/>
          <w:sz w:val="28"/>
          <w:szCs w:val="28"/>
        </w:rPr>
        <w:t>9</w:t>
      </w:r>
      <w:r w:rsidRPr="001016A3">
        <w:rPr>
          <w:rFonts w:ascii="Times New Roman" w:hAnsi="Times New Roman" w:cs="Times New Roman"/>
          <w:sz w:val="28"/>
          <w:szCs w:val="28"/>
        </w:rPr>
        <w:t>% құрады.</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Ұлттық Банк 11 қаңтар күні де макроэкономикалық сауалнаманың нәтижелерін жариялады деп </w:t>
      </w:r>
      <w:hyperlink r:id="rId6" w:history="1">
        <w:r w:rsidRPr="001016A3">
          <w:rPr>
            <w:rStyle w:val="a3"/>
            <w:rFonts w:ascii="Times New Roman" w:hAnsi="Times New Roman" w:cs="Times New Roman"/>
            <w:sz w:val="28"/>
            <w:szCs w:val="28"/>
          </w:rPr>
          <w:t>жазған едік.</w:t>
        </w:r>
      </w:hyperlink>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b/>
          <w:bCs/>
          <w:sz w:val="28"/>
          <w:szCs w:val="28"/>
        </w:rPr>
        <w:t>Макроэкономикалық сауалнамаға Ұлттық Банктің болжамдары кірмейтінін</w:t>
      </w:r>
      <w:r w:rsidRPr="001016A3">
        <w:rPr>
          <w:rFonts w:ascii="Times New Roman" w:hAnsi="Times New Roman" w:cs="Times New Roman"/>
          <w:sz w:val="28"/>
          <w:szCs w:val="28"/>
        </w:rPr>
        <w:t> атап өткен жөн.</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«Қаңтарда респонденттер 2024 және 2025 жылдарға арналған күтулерін жаңартып, болжамды кезеңді 2026 жылға дейін кеңейтті.</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«Сарапшылар инфляция бойынша 2024 жылға арналған болжамын 8%-дан 7,5%-ға дейін біршама жақсартты. Ал, 2025 жылға арналған болжам аса өзгерген жоқ – 6,9% (алдыңғы болжам – 7%). Болжамды кезеңнің соңына қарай респонденттер инфляцияның 5,8%-ға дейін баяулауын күтеді.</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lastRenderedPageBreak/>
        <w:t>Респонденттер 2024 жылға арналған базалық мөлшерлеме бойынша күтулерді орташа жылдық 12%-дан 13,5%-ға дейін көтерді. 2025 жылға арналған мөлшерлеме болжамдары 10% деңгейінде сақталды. 2026 жылы респонденттер базалық мөлшерлеменің айтарлықтай төмендеуін күтпейді. Сөйтіп ол болжам 9%-ды құрады», – деді Ұлттық Банк баспасөз қызметі.</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Сондай-ақ Ұлттық банк 2023 жылы алтын сатудан әлемдік </w:t>
      </w:r>
      <w:hyperlink r:id="rId7" w:history="1">
        <w:r w:rsidRPr="001016A3">
          <w:rPr>
            <w:rStyle w:val="a3"/>
            <w:rFonts w:ascii="Times New Roman" w:hAnsi="Times New Roman" w:cs="Times New Roman"/>
            <w:sz w:val="28"/>
            <w:szCs w:val="28"/>
          </w:rPr>
          <w:t>рекорд орнатты.</w:t>
        </w:r>
      </w:hyperlink>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2023 жылы Қазақстанның Ұлттық банкі алтын сатуда әлемдік көшбасшыға айналған. Былтыр бас банк 57,43 тонна алтын сатып, халықаралық резервтегі алтын көлемін қысқартты. Өзге елдердің Орталық банктері, керісінше, алтын сатып алуды арттырған. Бұл туралы HalykFinance сарапшыларының </w:t>
      </w:r>
      <w:hyperlink r:id="rId8" w:history="1">
        <w:r w:rsidRPr="001016A3">
          <w:rPr>
            <w:rStyle w:val="a3"/>
            <w:rFonts w:ascii="Times New Roman" w:hAnsi="Times New Roman" w:cs="Times New Roman"/>
            <w:sz w:val="28"/>
            <w:szCs w:val="28"/>
          </w:rPr>
          <w:t>шолуында жазылған.</w:t>
        </w:r>
      </w:hyperlink>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 xml:space="preserve">Әлемдік сұраныстың </w:t>
      </w:r>
      <w:bookmarkStart w:id="0" w:name="_GoBack"/>
      <w:bookmarkEnd w:id="0"/>
      <w:r w:rsidRPr="001016A3">
        <w:rPr>
          <w:rFonts w:ascii="Times New Roman" w:hAnsi="Times New Roman" w:cs="Times New Roman"/>
          <w:sz w:val="28"/>
          <w:szCs w:val="28"/>
        </w:rPr>
        <w:t>артуы және алтын бағасының қымбаттауы аясында ҰБ халықаралық резервіндегі алтын үлесі 54,2%-ды құрады. Бұл ҰБ-ның 50-55 пайыз деңгейіндегі жоспарына сай келеді.</w:t>
      </w:r>
    </w:p>
    <w:p w:rsidR="001016A3" w:rsidRPr="001016A3" w:rsidRDefault="001016A3" w:rsidP="00203192">
      <w:pPr>
        <w:spacing w:after="0" w:line="240" w:lineRule="auto"/>
        <w:ind w:firstLine="709"/>
        <w:jc w:val="both"/>
        <w:rPr>
          <w:rFonts w:ascii="Times New Roman" w:hAnsi="Times New Roman" w:cs="Times New Roman"/>
          <w:sz w:val="28"/>
          <w:szCs w:val="28"/>
        </w:rPr>
      </w:pPr>
      <w:r w:rsidRPr="001016A3">
        <w:rPr>
          <w:rFonts w:ascii="Times New Roman" w:hAnsi="Times New Roman" w:cs="Times New Roman"/>
          <w:sz w:val="28"/>
          <w:szCs w:val="28"/>
        </w:rPr>
        <w:t>Есесіне дамушы елдердің орталық банктері алтын сатып алуда соңғы 20 жылдағы рекордты орнатқан.</w:t>
      </w:r>
    </w:p>
    <w:p w:rsidR="001016A3" w:rsidRPr="001016A3" w:rsidRDefault="001016A3" w:rsidP="00203192">
      <w:pPr>
        <w:spacing w:after="0" w:line="240" w:lineRule="auto"/>
        <w:ind w:firstLine="709"/>
        <w:jc w:val="both"/>
        <w:rPr>
          <w:rFonts w:ascii="Times New Roman" w:hAnsi="Times New Roman" w:cs="Times New Roman"/>
          <w:sz w:val="28"/>
          <w:szCs w:val="28"/>
        </w:rPr>
      </w:pPr>
    </w:p>
    <w:sectPr w:rsidR="001016A3" w:rsidRPr="001016A3">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54572"/>
    <w:multiLevelType w:val="hybridMultilevel"/>
    <w:tmpl w:val="B2E475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B55EDB"/>
    <w:multiLevelType w:val="hybridMultilevel"/>
    <w:tmpl w:val="97866030"/>
    <w:lvl w:ilvl="0" w:tplc="0409000B">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15:restartNumberingAfterBreak="0">
    <w:nsid w:val="2FAE57B4"/>
    <w:multiLevelType w:val="hybridMultilevel"/>
    <w:tmpl w:val="A064C312"/>
    <w:lvl w:ilvl="0" w:tplc="84E480A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AB31F9"/>
    <w:multiLevelType w:val="hybridMultilevel"/>
    <w:tmpl w:val="ACEEB8CA"/>
    <w:lvl w:ilvl="0" w:tplc="A04857E0">
      <w:numFmt w:val="bullet"/>
      <w:lvlText w:val=""/>
      <w:lvlJc w:val="left"/>
      <w:pPr>
        <w:ind w:left="960" w:hanging="60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6314D6"/>
    <w:multiLevelType w:val="hybridMultilevel"/>
    <w:tmpl w:val="9412E374"/>
    <w:lvl w:ilvl="0" w:tplc="061A7F2E">
      <w:numFmt w:val="bullet"/>
      <w:lvlText w:val=""/>
      <w:lvlJc w:val="left"/>
      <w:pPr>
        <w:ind w:left="1099" w:hanging="390"/>
      </w:pPr>
      <w:rPr>
        <w:rFonts w:ascii="Symbol" w:eastAsiaTheme="minorHAnsi"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 w15:restartNumberingAfterBreak="0">
    <w:nsid w:val="3AB72C3D"/>
    <w:multiLevelType w:val="hybridMultilevel"/>
    <w:tmpl w:val="DC2879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876F12"/>
    <w:multiLevelType w:val="hybridMultilevel"/>
    <w:tmpl w:val="CCD23C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C961D7"/>
    <w:multiLevelType w:val="hybridMultilevel"/>
    <w:tmpl w:val="90883CF6"/>
    <w:lvl w:ilvl="0" w:tplc="0409000B">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 w15:restartNumberingAfterBreak="0">
    <w:nsid w:val="6574709E"/>
    <w:multiLevelType w:val="hybridMultilevel"/>
    <w:tmpl w:val="412CA8CA"/>
    <w:lvl w:ilvl="0" w:tplc="3026AB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157438"/>
    <w:multiLevelType w:val="hybridMultilevel"/>
    <w:tmpl w:val="58F4EBA0"/>
    <w:lvl w:ilvl="0" w:tplc="E2162122">
      <w:numFmt w:val="bullet"/>
      <w:lvlText w:val=""/>
      <w:lvlJc w:val="left"/>
      <w:pPr>
        <w:ind w:left="1099" w:hanging="390"/>
      </w:pPr>
      <w:rPr>
        <w:rFonts w:ascii="Symbol" w:eastAsiaTheme="minorHAnsi"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6"/>
  </w:num>
  <w:num w:numId="2">
    <w:abstractNumId w:val="2"/>
  </w:num>
  <w:num w:numId="3">
    <w:abstractNumId w:val="0"/>
  </w:num>
  <w:num w:numId="4">
    <w:abstractNumId w:val="8"/>
  </w:num>
  <w:num w:numId="5">
    <w:abstractNumId w:val="5"/>
  </w:num>
  <w:num w:numId="6">
    <w:abstractNumId w:val="3"/>
  </w:num>
  <w:num w:numId="7">
    <w:abstractNumId w:val="7"/>
  </w:num>
  <w:num w:numId="8">
    <w:abstractNumId w:val="9"/>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6A3"/>
    <w:rsid w:val="001016A3"/>
    <w:rsid w:val="00203192"/>
    <w:rsid w:val="006320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E6342"/>
  <w15:chartTrackingRefBased/>
  <w15:docId w15:val="{1756705C-FE68-4FDC-AE0C-FB1A6C5A6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016A3"/>
    <w:rPr>
      <w:color w:val="0563C1" w:themeColor="hyperlink"/>
      <w:u w:val="single"/>
    </w:rPr>
  </w:style>
  <w:style w:type="paragraph" w:styleId="a4">
    <w:name w:val="List Paragraph"/>
    <w:basedOn w:val="a"/>
    <w:uiPriority w:val="34"/>
    <w:qFormat/>
    <w:rsid w:val="002031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0457035">
      <w:bodyDiv w:val="1"/>
      <w:marLeft w:val="0"/>
      <w:marRight w:val="0"/>
      <w:marTop w:val="0"/>
      <w:marBottom w:val="0"/>
      <w:divBdr>
        <w:top w:val="none" w:sz="0" w:space="0" w:color="auto"/>
        <w:left w:val="none" w:sz="0" w:space="0" w:color="auto"/>
        <w:bottom w:val="none" w:sz="0" w:space="0" w:color="auto"/>
        <w:right w:val="none" w:sz="0" w:space="0" w:color="auto"/>
      </w:divBdr>
      <w:divsChild>
        <w:div w:id="728766805">
          <w:blockQuote w:val="1"/>
          <w:marLeft w:val="0"/>
          <w:marRight w:val="5535"/>
          <w:marTop w:val="100"/>
          <w:marBottom w:val="100"/>
          <w:divBdr>
            <w:top w:val="none" w:sz="0" w:space="0" w:color="auto"/>
            <w:left w:val="single" w:sz="18" w:space="15" w:color="CCCCCC"/>
            <w:bottom w:val="none" w:sz="0" w:space="0" w:color="auto"/>
            <w:right w:val="none" w:sz="0" w:space="0" w:color="auto"/>
          </w:divBdr>
        </w:div>
        <w:div w:id="1746878174">
          <w:blockQuote w:val="1"/>
          <w:marLeft w:val="0"/>
          <w:marRight w:val="5535"/>
          <w:marTop w:val="100"/>
          <w:marBottom w:val="100"/>
          <w:divBdr>
            <w:top w:val="none" w:sz="0" w:space="0" w:color="auto"/>
            <w:left w:val="single" w:sz="18" w:space="15" w:color="CCCCCC"/>
            <w:bottom w:val="none" w:sz="0" w:space="0" w:color="auto"/>
            <w:right w:val="none" w:sz="0" w:space="0" w:color="auto"/>
          </w:divBdr>
        </w:div>
        <w:div w:id="1856534030">
          <w:blockQuote w:val="1"/>
          <w:marLeft w:val="0"/>
          <w:marRight w:val="5535"/>
          <w:marTop w:val="100"/>
          <w:marBottom w:val="100"/>
          <w:divBdr>
            <w:top w:val="none" w:sz="0" w:space="0" w:color="auto"/>
            <w:left w:val="single" w:sz="18" w:space="15" w:color="CCCCCC"/>
            <w:bottom w:val="none" w:sz="0" w:space="0" w:color="auto"/>
            <w:right w:val="none" w:sz="0" w:space="0" w:color="auto"/>
          </w:divBdr>
        </w:div>
        <w:div w:id="633952461">
          <w:blockQuote w:val="1"/>
          <w:marLeft w:val="0"/>
          <w:marRight w:val="5535"/>
          <w:marTop w:val="100"/>
          <w:marBottom w:val="100"/>
          <w:divBdr>
            <w:top w:val="none" w:sz="0" w:space="0" w:color="auto"/>
            <w:left w:val="single" w:sz="18" w:space="15" w:color="CCCCCC"/>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lykfinance.kz/analiticheskiy-centr/v-2023-godu-nbk-stal-mirovym-liderom-po-prodazhe-zolota-v-rezervah-.html?utm_source=in_materials" TargetMode="External"/><Relationship Id="rId3" Type="http://schemas.openxmlformats.org/officeDocument/2006/relationships/settings" Target="settings.xml"/><Relationship Id="rId7" Type="http://schemas.openxmlformats.org/officeDocument/2006/relationships/hyperlink" Target="https://kz.kursiv.media/kk/2024-02-14/mtzh-ulttyq-bank-2023/?utm_source=in_materia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z.kursiv.media/kk/2024-01-11/gbvg-bank-15/?utm_source=in_materials" TargetMode="External"/><Relationship Id="rId5" Type="http://schemas.openxmlformats.org/officeDocument/2006/relationships/hyperlink" Target="http://chrome-extension/efaidnbmnnnibpcajpcglclefindmkaj/https:/nationalbank.kz/file/download/98740?utm_source=in_material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5</Pages>
  <Words>1739</Words>
  <Characters>9918</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2025-02-04T13:19:00Z</dcterms:created>
  <dcterms:modified xsi:type="dcterms:W3CDTF">2025-02-04T14:21:00Z</dcterms:modified>
</cp:coreProperties>
</file>